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BFAF62" w14:textId="2DF7D27B" w:rsidR="005E1F4B" w:rsidRDefault="005E1F4B" w:rsidP="005E1F4B">
      <w:pPr>
        <w:pStyle w:val="3GPPHeader"/>
      </w:pPr>
      <w:r>
        <w:t xml:space="preserve">3GPP TSG-RAN WG2 Meeting #105                                </w:t>
      </w:r>
      <w:r>
        <w:tab/>
      </w:r>
      <w:r w:rsidR="00FA3041" w:rsidRPr="00FA3041">
        <w:t>R2-1900388</w:t>
      </w:r>
    </w:p>
    <w:p w14:paraId="7CB82162" w14:textId="77777777" w:rsidR="005E1F4B" w:rsidRDefault="005E1F4B" w:rsidP="005E1F4B">
      <w:pPr>
        <w:pStyle w:val="3GPPHeader"/>
      </w:pPr>
      <w:r w:rsidRPr="005E1F4B">
        <w:t>Athens</w:t>
      </w:r>
      <w:r>
        <w:t xml:space="preserve">, </w:t>
      </w:r>
      <w:r w:rsidRPr="005E1F4B">
        <w:t>GREECE</w:t>
      </w:r>
      <w:r>
        <w:t>, 25th February – 1st March 2019</w:t>
      </w:r>
      <w:r>
        <w:tab/>
      </w:r>
    </w:p>
    <w:p w14:paraId="3EE5A430" w14:textId="77777777" w:rsidR="005E1F4B" w:rsidRDefault="005E1F4B" w:rsidP="005E1F4B">
      <w:pPr>
        <w:pStyle w:val="3GPPHeader"/>
      </w:pPr>
      <w:r>
        <w:tab/>
      </w:r>
    </w:p>
    <w:p w14:paraId="0AD89B62" w14:textId="3E1AA583" w:rsidR="005E1F4B" w:rsidRDefault="005E1F4B" w:rsidP="005E1F4B">
      <w:pPr>
        <w:pStyle w:val="3GPPHeader"/>
      </w:pPr>
      <w:r>
        <w:t xml:space="preserve">Source: </w:t>
      </w:r>
      <w:r>
        <w:tab/>
      </w:r>
      <w:r w:rsidR="0070429D" w:rsidRPr="00F33C25">
        <w:t>Asia Pacific Telecom</w:t>
      </w:r>
      <w:r w:rsidR="00AD236B">
        <w:t xml:space="preserve">, </w:t>
      </w:r>
      <w:r>
        <w:t>MTI</w:t>
      </w:r>
    </w:p>
    <w:p w14:paraId="32CDBF31" w14:textId="77777777" w:rsidR="005E1F4B" w:rsidRDefault="005E1F4B" w:rsidP="005E1F4B">
      <w:pPr>
        <w:pStyle w:val="3GPPHeader"/>
      </w:pPr>
      <w:r>
        <w:t xml:space="preserve">Title: </w:t>
      </w:r>
      <w:r>
        <w:tab/>
        <w:t xml:space="preserve">Discussion on </w:t>
      </w:r>
      <w:r w:rsidR="001B515B">
        <w:t xml:space="preserve">the </w:t>
      </w:r>
      <w:r>
        <w:t>BFR timer in NTN</w:t>
      </w:r>
    </w:p>
    <w:p w14:paraId="1A2C844F" w14:textId="77777777" w:rsidR="005E1F4B" w:rsidRDefault="005E1F4B" w:rsidP="005E1F4B">
      <w:pPr>
        <w:pStyle w:val="3GPPHeader"/>
      </w:pPr>
      <w:r>
        <w:t>Agenda item:</w:t>
      </w:r>
      <w:r>
        <w:tab/>
        <w:t>11.6.3.1</w:t>
      </w:r>
    </w:p>
    <w:p w14:paraId="38DC8572" w14:textId="77777777" w:rsidR="005E1F4B" w:rsidRDefault="005E1F4B" w:rsidP="005E1F4B">
      <w:pPr>
        <w:pStyle w:val="3GPPHeader"/>
      </w:pPr>
      <w:r>
        <w:t>Document for:</w:t>
      </w:r>
      <w:r>
        <w:tab/>
        <w:t>Discussion and Decision</w:t>
      </w:r>
      <w:bookmarkStart w:id="0" w:name="_GoBack"/>
      <w:bookmarkEnd w:id="0"/>
    </w:p>
    <w:p w14:paraId="7EF82979" w14:textId="77777777" w:rsidR="005E1F4B" w:rsidRDefault="005E1F4B" w:rsidP="005E1F4B">
      <w:pPr>
        <w:pStyle w:val="Heading1"/>
      </w:pPr>
      <w:r>
        <w:t>Introduction</w:t>
      </w:r>
    </w:p>
    <w:p w14:paraId="115BF69A" w14:textId="4D3FA03A" w:rsidR="005E1F4B" w:rsidRDefault="005E1F4B" w:rsidP="005E1F4B">
      <w:r>
        <w:t>In RAN2#10</w:t>
      </w:r>
      <w:r w:rsidR="006714EF">
        <w:t>3</w:t>
      </w:r>
      <w:r>
        <w:t>b</w:t>
      </w:r>
      <w:r w:rsidR="00B227C6">
        <w:t>is</w:t>
      </w:r>
      <w:r>
        <w:t xml:space="preserve">, the following agreement has been agreed.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E1F4B" w14:paraId="6F6A3FA0" w14:textId="77777777" w:rsidTr="005E1F4B">
        <w:tc>
          <w:tcPr>
            <w:tcW w:w="9350" w:type="dxa"/>
          </w:tcPr>
          <w:p w14:paraId="10103E4D" w14:textId="77777777" w:rsidR="00B06705" w:rsidRPr="00B06705" w:rsidRDefault="00B06705" w:rsidP="00B06705">
            <w:pPr>
              <w:rPr>
                <w:b/>
              </w:rPr>
            </w:pPr>
            <w:r w:rsidRPr="00B06705">
              <w:rPr>
                <w:b/>
                <w:highlight w:val="green"/>
              </w:rPr>
              <w:t>Agreements</w:t>
            </w:r>
            <w:r w:rsidRPr="00B06705">
              <w:rPr>
                <w:b/>
              </w:rPr>
              <w:t xml:space="preserve"> in RAN2#103bis:</w:t>
            </w:r>
          </w:p>
          <w:p w14:paraId="5A32C6F8" w14:textId="77777777" w:rsidR="00B06705" w:rsidRPr="00B06705" w:rsidRDefault="00B06705" w:rsidP="00B06705">
            <w:pPr>
              <w:spacing w:after="0"/>
            </w:pPr>
            <w:r w:rsidRPr="00B06705">
              <w:t xml:space="preserve">UP Impacts to study </w:t>
            </w:r>
          </w:p>
          <w:p w14:paraId="6907FE5E" w14:textId="77777777" w:rsidR="00B06705" w:rsidRPr="00B06705" w:rsidRDefault="00B06705" w:rsidP="00B06705">
            <w:pPr>
              <w:pStyle w:val="ListParagraph"/>
              <w:numPr>
                <w:ilvl w:val="0"/>
                <w:numId w:val="16"/>
              </w:numPr>
            </w:pPr>
            <w:r w:rsidRPr="00B06705">
              <w:t>DRX</w:t>
            </w:r>
          </w:p>
          <w:p w14:paraId="72B65A06" w14:textId="77777777" w:rsidR="00B06705" w:rsidRPr="00B06705" w:rsidRDefault="00B06705" w:rsidP="00B06705">
            <w:pPr>
              <w:pStyle w:val="ListParagraph"/>
              <w:numPr>
                <w:ilvl w:val="0"/>
                <w:numId w:val="16"/>
              </w:numPr>
            </w:pPr>
            <w:r w:rsidRPr="00B06705">
              <w:t xml:space="preserve">HARQ </w:t>
            </w:r>
          </w:p>
          <w:p w14:paraId="58A89E60" w14:textId="77777777" w:rsidR="00B06705" w:rsidRPr="00AE6B31" w:rsidRDefault="00B06705" w:rsidP="00B06705">
            <w:pPr>
              <w:pStyle w:val="ListParagraph"/>
              <w:numPr>
                <w:ilvl w:val="0"/>
                <w:numId w:val="16"/>
              </w:numPr>
            </w:pPr>
            <w:r w:rsidRPr="00AE6B31">
              <w:t xml:space="preserve">Random access response </w:t>
            </w:r>
          </w:p>
          <w:p w14:paraId="57D0AF00" w14:textId="77777777" w:rsidR="00B06705" w:rsidRPr="00B06705" w:rsidRDefault="00B06705" w:rsidP="00B06705">
            <w:pPr>
              <w:pStyle w:val="ListParagraph"/>
              <w:numPr>
                <w:ilvl w:val="0"/>
                <w:numId w:val="16"/>
              </w:numPr>
            </w:pPr>
            <w:r w:rsidRPr="00B06705">
              <w:t>RLC/PDCP reordering (e.g. timers and SN space)</w:t>
            </w:r>
          </w:p>
          <w:p w14:paraId="7BD682F1" w14:textId="77777777" w:rsidR="005E1F4B" w:rsidRDefault="00B06705" w:rsidP="00B06705">
            <w:pPr>
              <w:pStyle w:val="ListParagraph"/>
              <w:numPr>
                <w:ilvl w:val="0"/>
                <w:numId w:val="16"/>
              </w:numPr>
            </w:pPr>
            <w:r w:rsidRPr="00B06705">
              <w:t>SDAP =&gt; no impact</w:t>
            </w:r>
          </w:p>
        </w:tc>
      </w:tr>
    </w:tbl>
    <w:p w14:paraId="5A17C280" w14:textId="77777777" w:rsidR="005E1F4B" w:rsidRDefault="005E1F4B" w:rsidP="00B06705">
      <w:pPr>
        <w:spacing w:before="240"/>
      </w:pPr>
      <w:r>
        <w:t xml:space="preserve">In this contribution, we discuss the impact of </w:t>
      </w:r>
      <w:r w:rsidR="00B06705">
        <w:t>round-trip time (RTT)</w:t>
      </w:r>
      <w:r>
        <w:t xml:space="preserve"> in </w:t>
      </w:r>
      <w:r w:rsidR="00B06705">
        <w:t>Non-Terrestrial</w:t>
      </w:r>
      <w:r>
        <w:t xml:space="preserve"> Network (NTN) </w:t>
      </w:r>
      <w:r w:rsidR="00B06705">
        <w:t>for random access (RA) procedure</w:t>
      </w:r>
      <w:r w:rsidR="00B227C6">
        <w:t xml:space="preserve"> based on the above agreement</w:t>
      </w:r>
      <w:r>
        <w:t>.</w:t>
      </w:r>
    </w:p>
    <w:p w14:paraId="5C8D9F8F" w14:textId="77777777" w:rsidR="00B06705" w:rsidRDefault="00B06705" w:rsidP="00B06705">
      <w:pPr>
        <w:pStyle w:val="Heading1"/>
      </w:pPr>
      <w:r>
        <w:t>Discussion</w:t>
      </w:r>
    </w:p>
    <w:p w14:paraId="402F22D7" w14:textId="011EC8E7" w:rsidR="00B06705" w:rsidRDefault="00B06705" w:rsidP="00B06705">
      <w:r>
        <w:t xml:space="preserve"> In TS 38.811, RTT</w:t>
      </w:r>
      <w:r w:rsidR="00B227C6">
        <w:t xml:space="preserve"> </w:t>
      </w:r>
      <w:r>
        <w:t xml:space="preserve">for </w:t>
      </w:r>
      <w:r w:rsidR="00AE6B31" w:rsidRPr="00AE6B31">
        <w:t xml:space="preserve">Geostationary </w:t>
      </w:r>
      <w:r w:rsidR="00AE6B31" w:rsidRPr="00B06705">
        <w:t xml:space="preserve">Earth Orbit </w:t>
      </w:r>
      <w:r w:rsidR="00AE6B31">
        <w:t>(</w:t>
      </w:r>
      <w:r>
        <w:t>GEO</w:t>
      </w:r>
      <w:r w:rsidR="00AE6B31">
        <w:t xml:space="preserve">) </w:t>
      </w:r>
      <w:r w:rsidR="00AE6B31" w:rsidRPr="00AE6B31">
        <w:t>satellite</w:t>
      </w:r>
      <w:r w:rsidR="0073595F">
        <w:t>s</w:t>
      </w:r>
      <w:r w:rsidR="00AE6B31" w:rsidRPr="00AE6B31">
        <w:t xml:space="preserve"> </w:t>
      </w:r>
      <w:r w:rsidR="0073595F">
        <w:t>is given in</w:t>
      </w:r>
      <w:r w:rsidR="00B227C6">
        <w:t xml:space="preserve"> the following table</w:t>
      </w:r>
      <w:r w:rsidR="00AE6B31">
        <w:t>.</w:t>
      </w:r>
      <w:r>
        <w:t xml:space="preserve"> </w:t>
      </w:r>
    </w:p>
    <w:p w14:paraId="6B586F8A" w14:textId="77777777" w:rsidR="00AE6B31" w:rsidRPr="00AE6B31" w:rsidRDefault="00AE6B31" w:rsidP="00AE6B31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ascii="Arial" w:eastAsia="Times New Roman" w:hAnsi="Arial" w:cs="Times New Roman"/>
          <w:b/>
          <w:lang w:eastAsia="en-US"/>
        </w:rPr>
      </w:pPr>
      <w:r w:rsidRPr="00AE6B31">
        <w:rPr>
          <w:rFonts w:ascii="Arial" w:eastAsia="Times New Roman" w:hAnsi="Arial" w:cs="Times New Roman"/>
          <w:b/>
          <w:lang w:eastAsia="en-US"/>
        </w:rPr>
        <w:t>Table 5.3.2.1-1: Propagation delays for GEO satellite at 35786 km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4"/>
        <w:gridCol w:w="3020"/>
        <w:gridCol w:w="2541"/>
        <w:gridCol w:w="1945"/>
      </w:tblGrid>
      <w:tr w:rsidR="00AE6B31" w:rsidRPr="00AE6B31" w14:paraId="720730CC" w14:textId="77777777" w:rsidTr="00A955CE">
        <w:trPr>
          <w:cantSplit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BEE61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b/>
                <w:sz w:val="18"/>
                <w:lang w:eastAsia="fr-FR"/>
              </w:rPr>
              <w:t> </w:t>
            </w:r>
          </w:p>
        </w:tc>
        <w:tc>
          <w:tcPr>
            <w:tcW w:w="40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4D2C8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lang w:val="fr-FR" w:eastAsia="fr-FR"/>
              </w:rPr>
            </w:pPr>
            <w:r w:rsidRPr="00AE6B31">
              <w:rPr>
                <w:rFonts w:ascii="Arial" w:eastAsia="Times New Roman" w:hAnsi="Arial" w:cs="Times New Roman"/>
                <w:b/>
                <w:sz w:val="18"/>
                <w:lang w:eastAsia="fr-FR"/>
              </w:rPr>
              <w:t> </w:t>
            </w:r>
            <w:r w:rsidRPr="00AE6B31">
              <w:rPr>
                <w:rFonts w:ascii="Arial" w:eastAsia="Times New Roman" w:hAnsi="Arial" w:cs="Times New Roman"/>
                <w:b/>
                <w:sz w:val="18"/>
                <w:lang w:val="fr-FR" w:eastAsia="fr-FR"/>
              </w:rPr>
              <w:t>GEO at 35786 km</w:t>
            </w:r>
          </w:p>
        </w:tc>
      </w:tr>
      <w:tr w:rsidR="00AE6B31" w:rsidRPr="00AE6B31" w14:paraId="6BBDBE6D" w14:textId="77777777" w:rsidTr="00A955CE">
        <w:trPr>
          <w:cantSplit/>
        </w:trPr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802C4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b/>
                <w:sz w:val="18"/>
                <w:lang w:eastAsia="fr-FR"/>
              </w:rPr>
              <w:t>Elevation angle</w:t>
            </w:r>
          </w:p>
        </w:tc>
        <w:tc>
          <w:tcPr>
            <w:tcW w:w="1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EC809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b/>
                <w:sz w:val="18"/>
                <w:lang w:eastAsia="fr-FR"/>
              </w:rPr>
              <w:t>Path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CC8E8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lang w:val="fr-FR" w:eastAsia="fr-FR"/>
              </w:rPr>
            </w:pPr>
            <w:r w:rsidRPr="00AE6B31">
              <w:rPr>
                <w:rFonts w:ascii="Arial" w:eastAsia="Times New Roman" w:hAnsi="Arial" w:cs="Times New Roman"/>
                <w:b/>
                <w:sz w:val="18"/>
                <w:lang w:val="fr-FR" w:eastAsia="fr-FR"/>
              </w:rPr>
              <w:t>D (km)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41245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lang w:val="fr-FR" w:eastAsia="fr-FR"/>
              </w:rPr>
            </w:pPr>
            <w:r w:rsidRPr="00AE6B31">
              <w:rPr>
                <w:rFonts w:ascii="Arial" w:eastAsia="Times New Roman" w:hAnsi="Arial" w:cs="Times New Roman"/>
                <w:b/>
                <w:sz w:val="18"/>
                <w:lang w:val="fr-FR" w:eastAsia="fr-FR"/>
              </w:rPr>
              <w:t>Time (ms)</w:t>
            </w:r>
          </w:p>
        </w:tc>
      </w:tr>
      <w:tr w:rsidR="00AE6B31" w:rsidRPr="00AE6B31" w14:paraId="3106F698" w14:textId="77777777" w:rsidTr="00A955CE">
        <w:trPr>
          <w:cantSplit/>
        </w:trPr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F41DF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Times New Roman" w:hAnsi="Arial" w:cs="Times New Roman"/>
                <w:sz w:val="18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UE :10°</w:t>
            </w:r>
          </w:p>
        </w:tc>
        <w:tc>
          <w:tcPr>
            <w:tcW w:w="1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F05F8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Times New Roman" w:hAnsi="Arial" w:cs="Times New Roman"/>
                <w:sz w:val="18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satellite - UE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4BB88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Times New Roman" w:hAnsi="Arial" w:cs="Times New Roman"/>
                <w:sz w:val="18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40586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B3257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Times New Roman" w:hAnsi="Arial" w:cs="Times New Roman"/>
                <w:sz w:val="18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135.286</w:t>
            </w:r>
          </w:p>
        </w:tc>
      </w:tr>
      <w:tr w:rsidR="00AE6B31" w:rsidRPr="00AE6B31" w14:paraId="42696914" w14:textId="77777777" w:rsidTr="00A955CE">
        <w:trPr>
          <w:cantSplit/>
        </w:trPr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EE787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Times New Roman" w:hAnsi="Arial" w:cs="Times New Roman"/>
                <w:sz w:val="18"/>
                <w:lang w:eastAsia="fr-FR"/>
              </w:rPr>
            </w:pPr>
            <w:proofErr w:type="gramStart"/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GW :</w:t>
            </w:r>
            <w:proofErr w:type="gramEnd"/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 xml:space="preserve"> 5°</w:t>
            </w:r>
          </w:p>
        </w:tc>
        <w:tc>
          <w:tcPr>
            <w:tcW w:w="1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51CBA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Times New Roman" w:hAnsi="Arial" w:cs="Times New Roman"/>
                <w:sz w:val="18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satellite - gateway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C00FC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Times New Roman" w:hAnsi="Arial" w:cs="Times New Roman"/>
                <w:sz w:val="18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41126.6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E8F3A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Times New Roman" w:hAnsi="Arial" w:cs="Times New Roman"/>
                <w:sz w:val="18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137.088</w:t>
            </w:r>
          </w:p>
        </w:tc>
      </w:tr>
      <w:tr w:rsidR="00AE6B31" w:rsidRPr="00AE6B31" w14:paraId="6FCDF9B8" w14:textId="77777777" w:rsidTr="00A955CE">
        <w:trPr>
          <w:cantSplit/>
        </w:trPr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10944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Times New Roman" w:hAnsi="Arial" w:cs="Times New Roman"/>
                <w:sz w:val="18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90°</w:t>
            </w:r>
          </w:p>
        </w:tc>
        <w:tc>
          <w:tcPr>
            <w:tcW w:w="1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D7037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Times New Roman" w:hAnsi="Arial" w:cs="Times New Roman"/>
                <w:sz w:val="18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satellite - UE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C6A0C9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Times New Roman" w:hAnsi="Arial" w:cs="Times New Roman"/>
                <w:sz w:val="18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35786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12F858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Times New Roman" w:hAnsi="Arial" w:cs="Times New Roman"/>
                <w:sz w:val="18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119.286</w:t>
            </w:r>
          </w:p>
        </w:tc>
      </w:tr>
      <w:tr w:rsidR="00AE6B31" w:rsidRPr="00AE6B31" w14:paraId="1CEC9FF9" w14:textId="77777777" w:rsidTr="00A955CE">
        <w:trPr>
          <w:cantSplit/>
        </w:trPr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1F90F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Times New Roman"/>
                <w:sz w:val="18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Bent Pipe satellite</w:t>
            </w:r>
          </w:p>
        </w:tc>
      </w:tr>
      <w:tr w:rsidR="00AE6B31" w:rsidRPr="00AE6B31" w14:paraId="1B6BB583" w14:textId="77777777" w:rsidTr="00A955CE">
        <w:trPr>
          <w:cantSplit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C1E009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Times New Roman" w:hAnsi="Arial" w:cs="Times New Roman"/>
                <w:sz w:val="18"/>
                <w:lang w:eastAsia="fr-FR"/>
              </w:rPr>
            </w:pPr>
            <w:proofErr w:type="gramStart"/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One way</w:t>
            </w:r>
            <w:proofErr w:type="gramEnd"/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 xml:space="preserve"> delay</w:t>
            </w:r>
          </w:p>
        </w:tc>
        <w:tc>
          <w:tcPr>
            <w:tcW w:w="1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C852B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Times New Roman" w:hAnsi="Arial" w:cs="Times New Roman"/>
                <w:sz w:val="18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Gateway-</w:t>
            </w:r>
            <w:proofErr w:type="spellStart"/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satellite_UE</w:t>
            </w:r>
            <w:proofErr w:type="spellEnd"/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DC2E5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Times New Roman" w:hAnsi="Arial" w:cs="Times New Roman"/>
                <w:sz w:val="18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81712.6</w:t>
            </w:r>
          </w:p>
        </w:tc>
        <w:tc>
          <w:tcPr>
            <w:tcW w:w="10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ACA31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Times New Roman" w:hAnsi="Arial" w:cs="Times New Roman"/>
                <w:sz w:val="18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272.375</w:t>
            </w:r>
          </w:p>
        </w:tc>
      </w:tr>
      <w:tr w:rsidR="00AE6B31" w:rsidRPr="00AE6B31" w14:paraId="1266358C" w14:textId="77777777" w:rsidTr="00A955CE">
        <w:trPr>
          <w:cantSplit/>
        </w:trPr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F11CC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Times New Roman" w:hAnsi="Arial" w:cs="Times New Roman"/>
                <w:sz w:val="18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Round trip Time</w:t>
            </w:r>
          </w:p>
        </w:tc>
        <w:tc>
          <w:tcPr>
            <w:tcW w:w="1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A8338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Times New Roman" w:hAnsi="Arial" w:cs="Times New Roman"/>
                <w:sz w:val="18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Twice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8D975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Times New Roman" w:hAnsi="Arial" w:cs="Times New Roman"/>
                <w:sz w:val="18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163425.3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B1660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Times New Roman" w:hAnsi="Arial" w:cs="Times New Roman"/>
                <w:sz w:val="18"/>
                <w:highlight w:val="yellow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sz w:val="18"/>
                <w:highlight w:val="yellow"/>
                <w:lang w:eastAsia="fr-FR"/>
              </w:rPr>
              <w:t>544.751</w:t>
            </w:r>
          </w:p>
        </w:tc>
      </w:tr>
      <w:tr w:rsidR="00AE6B31" w:rsidRPr="00AE6B31" w14:paraId="6A003719" w14:textId="77777777" w:rsidTr="00A955CE">
        <w:trPr>
          <w:cantSplit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0F913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Times New Roman"/>
                <w:sz w:val="18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Regenerative Satellite</w:t>
            </w:r>
          </w:p>
        </w:tc>
      </w:tr>
      <w:tr w:rsidR="00AE6B31" w:rsidRPr="00AE6B31" w14:paraId="57B7DBB9" w14:textId="77777777" w:rsidTr="00A955CE">
        <w:trPr>
          <w:cantSplit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4EBB2F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Times New Roman" w:hAnsi="Arial" w:cs="Times New Roman"/>
                <w:sz w:val="18"/>
                <w:lang w:eastAsia="fr-FR"/>
              </w:rPr>
            </w:pPr>
            <w:proofErr w:type="gramStart"/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One way</w:t>
            </w:r>
            <w:proofErr w:type="gramEnd"/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 xml:space="preserve"> delay</w:t>
            </w:r>
          </w:p>
        </w:tc>
        <w:tc>
          <w:tcPr>
            <w:tcW w:w="1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FD2A3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Times New Roman" w:hAnsi="Arial" w:cs="Times New Roman"/>
                <w:sz w:val="18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Satellite -UE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0ABE1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Times New Roman" w:hAnsi="Arial" w:cs="Times New Roman"/>
                <w:sz w:val="18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40586</w:t>
            </w:r>
          </w:p>
        </w:tc>
        <w:tc>
          <w:tcPr>
            <w:tcW w:w="10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EA976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Times New Roman" w:hAnsi="Arial" w:cs="Times New Roman"/>
                <w:sz w:val="18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135.286</w:t>
            </w:r>
          </w:p>
        </w:tc>
      </w:tr>
      <w:tr w:rsidR="00AE6B31" w:rsidRPr="00AE6B31" w14:paraId="4B5B4387" w14:textId="77777777" w:rsidTr="00A955CE">
        <w:trPr>
          <w:cantSplit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752977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Times New Roman" w:hAnsi="Arial" w:cs="Times New Roman"/>
                <w:sz w:val="18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Round Trip Time</w:t>
            </w:r>
          </w:p>
        </w:tc>
        <w:tc>
          <w:tcPr>
            <w:tcW w:w="1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C48B3B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Times New Roman" w:hAnsi="Arial" w:cs="Times New Roman"/>
                <w:sz w:val="18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Satellite-UE-Satellite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E177A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Times New Roman" w:hAnsi="Arial" w:cs="Times New Roman"/>
                <w:sz w:val="18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81172</w:t>
            </w:r>
          </w:p>
        </w:tc>
        <w:tc>
          <w:tcPr>
            <w:tcW w:w="10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749EA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Times New Roman" w:hAnsi="Arial" w:cs="Times New Roman"/>
                <w:sz w:val="18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270.572</w:t>
            </w:r>
          </w:p>
        </w:tc>
      </w:tr>
    </w:tbl>
    <w:p w14:paraId="073A6601" w14:textId="168A9498" w:rsidR="00AE6B31" w:rsidRDefault="00B227C6" w:rsidP="00932935">
      <w:pPr>
        <w:spacing w:before="120"/>
      </w:pPr>
      <w:r>
        <w:t>A</w:t>
      </w:r>
      <w:r w:rsidR="00E65ED1">
        <w:t>s shown</w:t>
      </w:r>
      <w:r w:rsidR="00AE6B31">
        <w:t>, up to 545ms of RTT needs to be supported by NR</w:t>
      </w:r>
      <w:r w:rsidR="0073595F">
        <w:t xml:space="preserve"> NTN</w:t>
      </w:r>
      <w:r w:rsidR="00932935">
        <w:t xml:space="preserve">. As a result, many timers have been reviewed and discussed </w:t>
      </w:r>
      <w:r>
        <w:t>by</w:t>
      </w:r>
      <w:r w:rsidR="00932935">
        <w:t xml:space="preserve"> companies</w:t>
      </w:r>
      <w:r>
        <w:t xml:space="preserve"> among previous meetings</w:t>
      </w:r>
      <w:r w:rsidR="00932935">
        <w:t xml:space="preserve">. However, </w:t>
      </w:r>
      <w:r w:rsidR="0073595F">
        <w:t xml:space="preserve">one </w:t>
      </w:r>
      <w:r w:rsidR="00932935">
        <w:t xml:space="preserve">discussion on </w:t>
      </w:r>
      <w:r w:rsidR="001B515B">
        <w:t xml:space="preserve">the </w:t>
      </w:r>
      <w:r w:rsidR="00932935">
        <w:t xml:space="preserve">BFR timer is missing. </w:t>
      </w:r>
    </w:p>
    <w:p w14:paraId="6667E8F6" w14:textId="39C449FE" w:rsidR="00D51E0E" w:rsidRDefault="00932935" w:rsidP="00D51E0E">
      <w:pPr>
        <w:spacing w:before="120"/>
      </w:pPr>
      <w:r>
        <w:t>In TS 38.331,</w:t>
      </w:r>
      <w:r w:rsidR="00D51E0E">
        <w:t xml:space="preserve"> </w:t>
      </w:r>
      <w:r w:rsidR="0073595F">
        <w:t xml:space="preserve">details on the </w:t>
      </w:r>
      <w:r>
        <w:t>BFR timer can be found in</w:t>
      </w:r>
      <w:r w:rsidR="001B515B">
        <w:t xml:space="preserve"> the</w:t>
      </w:r>
      <w:r>
        <w:t xml:space="preserve"> BFR configuration </w:t>
      </w:r>
      <w:r w:rsidR="0073595F">
        <w:t>IE</w:t>
      </w:r>
      <w:r w:rsidR="00E65ED1">
        <w:t>:</w:t>
      </w:r>
    </w:p>
    <w:p w14:paraId="3B6112D7" w14:textId="77777777" w:rsidR="00D51E0E" w:rsidRPr="00D51E0E" w:rsidRDefault="00D51E0E" w:rsidP="00D51E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 w:cs="Times New Roman"/>
          <w:noProof/>
          <w:sz w:val="16"/>
          <w:lang w:eastAsia="sv-SE"/>
        </w:rPr>
      </w:pPr>
      <w:r w:rsidRPr="00D51E0E">
        <w:rPr>
          <w:rFonts w:ascii="Courier New" w:eastAsia="Batang" w:hAnsi="Courier New" w:cs="Times New Roman"/>
          <w:noProof/>
          <w:sz w:val="16"/>
          <w:lang w:eastAsia="sv-SE"/>
        </w:rPr>
        <w:t xml:space="preserve">BeamFailureRecoveryConfig ::=       </w:t>
      </w:r>
      <w:r w:rsidRPr="00D51E0E">
        <w:rPr>
          <w:rFonts w:ascii="Courier New" w:eastAsia="Batang" w:hAnsi="Courier New" w:cs="Times New Roman"/>
          <w:noProof/>
          <w:color w:val="993366"/>
          <w:sz w:val="16"/>
          <w:lang w:eastAsia="sv-SE"/>
        </w:rPr>
        <w:t>SEQUENCE</w:t>
      </w:r>
      <w:r w:rsidRPr="00D51E0E">
        <w:rPr>
          <w:rFonts w:ascii="Courier New" w:eastAsia="Batang" w:hAnsi="Courier New" w:cs="Times New Roman"/>
          <w:noProof/>
          <w:sz w:val="16"/>
          <w:lang w:eastAsia="sv-SE"/>
        </w:rPr>
        <w:t xml:space="preserve"> {</w:t>
      </w:r>
    </w:p>
    <w:p w14:paraId="161C840C" w14:textId="77777777" w:rsidR="00D51E0E" w:rsidRPr="00D51E0E" w:rsidRDefault="00E65ED1" w:rsidP="00D51E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 w:cs="Times New Roman"/>
          <w:noProof/>
          <w:color w:val="808080"/>
          <w:sz w:val="16"/>
          <w:lang w:eastAsia="sv-SE"/>
        </w:rPr>
      </w:pPr>
      <w:r>
        <w:rPr>
          <w:rFonts w:ascii="Courier New" w:eastAsia="Batang" w:hAnsi="Courier New" w:cs="Times New Roman"/>
          <w:noProof/>
          <w:sz w:val="16"/>
          <w:lang w:eastAsia="sv-SE"/>
        </w:rPr>
        <w:t>[…]</w:t>
      </w:r>
    </w:p>
    <w:p w14:paraId="5F026DD7" w14:textId="77777777" w:rsidR="00D51E0E" w:rsidRPr="00D51E0E" w:rsidRDefault="00D51E0E" w:rsidP="00D51E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 w:cs="Times New Roman"/>
          <w:noProof/>
          <w:color w:val="808080"/>
          <w:sz w:val="16"/>
          <w:lang w:eastAsia="sv-SE"/>
        </w:rPr>
      </w:pPr>
      <w:r w:rsidRPr="00D51E0E">
        <w:rPr>
          <w:rFonts w:ascii="Courier New" w:eastAsia="Batang" w:hAnsi="Courier New" w:cs="Times New Roman"/>
          <w:noProof/>
          <w:sz w:val="16"/>
          <w:lang w:eastAsia="sv-SE"/>
        </w:rPr>
        <w:t xml:space="preserve">beamFailureRecoveryTimer            </w:t>
      </w:r>
      <w:r w:rsidRPr="00D51E0E">
        <w:rPr>
          <w:rFonts w:ascii="Courier New" w:eastAsia="Batang" w:hAnsi="Courier New" w:cs="Times New Roman"/>
          <w:noProof/>
          <w:color w:val="993366"/>
          <w:sz w:val="16"/>
          <w:lang w:eastAsia="sv-SE"/>
        </w:rPr>
        <w:t>ENUMERATED</w:t>
      </w:r>
      <w:r w:rsidRPr="00D51E0E">
        <w:rPr>
          <w:rFonts w:ascii="Courier New" w:eastAsia="Batang" w:hAnsi="Courier New" w:cs="Times New Roman"/>
          <w:noProof/>
          <w:sz w:val="16"/>
          <w:lang w:eastAsia="sv-SE"/>
        </w:rPr>
        <w:t xml:space="preserve"> {ms10, ms20, ms40, ms60, ms80, ms100, ms150, </w:t>
      </w:r>
      <w:r w:rsidRPr="00D51E0E">
        <w:rPr>
          <w:rFonts w:ascii="Courier New" w:eastAsia="Batang" w:hAnsi="Courier New" w:cs="Times New Roman"/>
          <w:noProof/>
          <w:sz w:val="16"/>
          <w:highlight w:val="yellow"/>
          <w:lang w:eastAsia="sv-SE"/>
        </w:rPr>
        <w:t>ms200</w:t>
      </w:r>
      <w:r w:rsidRPr="00D51E0E">
        <w:rPr>
          <w:rFonts w:ascii="Courier New" w:eastAsia="Batang" w:hAnsi="Courier New" w:cs="Times New Roman"/>
          <w:noProof/>
          <w:sz w:val="16"/>
          <w:lang w:eastAsia="sv-SE"/>
        </w:rPr>
        <w:t xml:space="preserve">}          </w:t>
      </w:r>
      <w:r w:rsidRPr="00D51E0E">
        <w:rPr>
          <w:rFonts w:ascii="Courier New" w:eastAsia="Batang" w:hAnsi="Courier New" w:cs="Times New Roman"/>
          <w:noProof/>
          <w:color w:val="993366"/>
          <w:sz w:val="16"/>
          <w:lang w:eastAsia="sv-SE"/>
        </w:rPr>
        <w:t>OPTIONAL</w:t>
      </w:r>
      <w:r w:rsidRPr="00D51E0E">
        <w:rPr>
          <w:rFonts w:ascii="Courier New" w:eastAsia="Batang" w:hAnsi="Courier New" w:cs="Times New Roman"/>
          <w:noProof/>
          <w:sz w:val="16"/>
          <w:lang w:eastAsia="sv-SE"/>
        </w:rPr>
        <w:t xml:space="preserve">,   </w:t>
      </w:r>
      <w:r w:rsidRPr="00D51E0E">
        <w:rPr>
          <w:rFonts w:ascii="Courier New" w:eastAsia="Batang" w:hAnsi="Courier New" w:cs="Times New Roman"/>
          <w:noProof/>
          <w:color w:val="808080"/>
          <w:sz w:val="16"/>
          <w:lang w:eastAsia="sv-SE"/>
        </w:rPr>
        <w:t>-- Need M</w:t>
      </w:r>
    </w:p>
    <w:p w14:paraId="7B3CB4C2" w14:textId="77777777" w:rsidR="00D51E0E" w:rsidRPr="00D51E0E" w:rsidRDefault="00E65ED1" w:rsidP="00D51E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 w:cs="Times New Roman"/>
          <w:noProof/>
          <w:sz w:val="16"/>
          <w:lang w:eastAsia="sv-SE"/>
        </w:rPr>
      </w:pPr>
      <w:r>
        <w:rPr>
          <w:rFonts w:ascii="Courier New" w:eastAsia="Batang" w:hAnsi="Courier New" w:cs="Times New Roman"/>
          <w:noProof/>
          <w:sz w:val="16"/>
          <w:lang w:eastAsia="sv-SE"/>
        </w:rPr>
        <w:t>[…]</w:t>
      </w:r>
    </w:p>
    <w:p w14:paraId="62EF66A4" w14:textId="77777777" w:rsidR="00D51E0E" w:rsidRDefault="00D51E0E" w:rsidP="00E8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jc w:val="left"/>
        <w:textAlignment w:val="auto"/>
        <w:rPr>
          <w:rFonts w:ascii="Courier New" w:eastAsia="Batang" w:hAnsi="Courier New" w:cs="Times New Roman"/>
          <w:noProof/>
          <w:sz w:val="16"/>
          <w:lang w:eastAsia="sv-SE"/>
        </w:rPr>
      </w:pPr>
      <w:r w:rsidRPr="00D51E0E">
        <w:rPr>
          <w:rFonts w:ascii="Courier New" w:eastAsia="Batang" w:hAnsi="Courier New" w:cs="Times New Roman"/>
          <w:noProof/>
          <w:sz w:val="16"/>
          <w:lang w:eastAsia="sv-SE"/>
        </w:rPr>
        <w:t>}</w:t>
      </w:r>
    </w:p>
    <w:p w14:paraId="15419EA3" w14:textId="5D6BD3EE" w:rsidR="00E65ED1" w:rsidRDefault="00E65ED1" w:rsidP="00E65ED1">
      <w:pPr>
        <w:spacing w:before="120"/>
      </w:pPr>
      <w:r>
        <w:t xml:space="preserve">and its </w:t>
      </w:r>
      <w:r w:rsidR="0073595F">
        <w:t xml:space="preserve">functional </w:t>
      </w:r>
      <w:r>
        <w:t>description can be found as below:</w:t>
      </w:r>
    </w:p>
    <w:p w14:paraId="116F8CC3" w14:textId="77777777" w:rsidR="00E65ED1" w:rsidRPr="00E84CCD" w:rsidRDefault="00E65ED1" w:rsidP="00E65ED1">
      <w:pPr>
        <w:spacing w:before="120"/>
        <w:rPr>
          <w:rFonts w:ascii="Courier New" w:eastAsia="Batang" w:hAnsi="Courier New" w:cs="Times New Roman"/>
          <w:noProof/>
          <w:sz w:val="16"/>
          <w:lang w:eastAsia="sv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32935" w14:paraId="299D85A2" w14:textId="77777777" w:rsidTr="00932935">
        <w:tc>
          <w:tcPr>
            <w:tcW w:w="9350" w:type="dxa"/>
          </w:tcPr>
          <w:p w14:paraId="7F77DB7E" w14:textId="77777777" w:rsidR="00932935" w:rsidRPr="00932935" w:rsidRDefault="00932935" w:rsidP="00932935">
            <w:pPr>
              <w:keepNext/>
              <w:keepLines/>
              <w:spacing w:after="0"/>
              <w:jc w:val="left"/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</w:pPr>
            <w:proofErr w:type="spellStart"/>
            <w:r w:rsidRPr="00932935">
              <w:rPr>
                <w:rFonts w:ascii="Arial" w:eastAsia="Times New Roman" w:hAnsi="Arial" w:cs="Times New Roman"/>
                <w:b/>
                <w:i/>
                <w:sz w:val="18"/>
                <w:szCs w:val="22"/>
                <w:lang w:eastAsia="ja-JP"/>
              </w:rPr>
              <w:lastRenderedPageBreak/>
              <w:t>beamFailureRecoveryTimer</w:t>
            </w:r>
            <w:proofErr w:type="spellEnd"/>
          </w:p>
          <w:p w14:paraId="342C7BFE" w14:textId="77777777" w:rsidR="00932935" w:rsidRDefault="00932935" w:rsidP="00932935">
            <w:pPr>
              <w:spacing w:before="120"/>
            </w:pPr>
            <w:r w:rsidRPr="00932935">
              <w:rPr>
                <w:rFonts w:ascii="Times New Roman" w:eastAsia="Times New Roman" w:hAnsi="Times New Roman" w:cs="Times New Roman"/>
                <w:szCs w:val="22"/>
                <w:lang w:eastAsia="ja-JP"/>
              </w:rPr>
              <w:t xml:space="preserve">Timer for beam failure recovery timer.  </w:t>
            </w:r>
            <w:r w:rsidRPr="0073595F">
              <w:rPr>
                <w:rFonts w:ascii="Times New Roman" w:eastAsia="Times New Roman" w:hAnsi="Times New Roman" w:cs="Times New Roman"/>
                <w:szCs w:val="22"/>
                <w:highlight w:val="yellow"/>
                <w:lang w:eastAsia="ja-JP"/>
              </w:rPr>
              <w:t>Upon expiration of the timer the UE does not use CFRA for BFR</w:t>
            </w:r>
            <w:r w:rsidRPr="00932935">
              <w:rPr>
                <w:rFonts w:ascii="Times New Roman" w:eastAsia="Times New Roman" w:hAnsi="Times New Roman" w:cs="Times New Roman"/>
                <w:szCs w:val="22"/>
                <w:lang w:eastAsia="ja-JP"/>
              </w:rPr>
              <w:t xml:space="preserve">. Value in </w:t>
            </w:r>
            <w:proofErr w:type="spellStart"/>
            <w:r w:rsidRPr="00932935">
              <w:rPr>
                <w:rFonts w:ascii="Times New Roman" w:eastAsia="Times New Roman" w:hAnsi="Times New Roman" w:cs="Times New Roman"/>
                <w:szCs w:val="22"/>
                <w:lang w:eastAsia="ja-JP"/>
              </w:rPr>
              <w:t>ms</w:t>
            </w:r>
            <w:proofErr w:type="spellEnd"/>
            <w:r w:rsidRPr="00932935">
              <w:rPr>
                <w:rFonts w:ascii="Times New Roman" w:eastAsia="Times New Roman" w:hAnsi="Times New Roman" w:cs="Times New Roman"/>
                <w:szCs w:val="22"/>
                <w:lang w:eastAsia="ja-JP"/>
              </w:rPr>
              <w:t>. ms10 corresponds to 10ms, ms20 to 20ms, and so on.</w:t>
            </w:r>
          </w:p>
        </w:tc>
      </w:tr>
    </w:tbl>
    <w:p w14:paraId="1B1C60D6" w14:textId="584C3B7D" w:rsidR="00932935" w:rsidRDefault="00932935" w:rsidP="00932935">
      <w:pPr>
        <w:spacing w:before="120"/>
      </w:pPr>
      <w:r>
        <w:t xml:space="preserve">In Rel. 15, </w:t>
      </w:r>
      <w:r w:rsidR="00D51E0E">
        <w:t xml:space="preserve">we </w:t>
      </w:r>
      <w:r w:rsidR="00E84CCD">
        <w:t xml:space="preserve">have </w:t>
      </w:r>
      <w:r w:rsidR="00D51E0E">
        <w:t>found</w:t>
      </w:r>
      <w:r>
        <w:t xml:space="preserve"> that the maximum value of the BFR timer is 200ms</w:t>
      </w:r>
      <w:r w:rsidR="00D51E0E">
        <w:t>, which is less than the RTT for GEO satellites</w:t>
      </w:r>
      <w:r w:rsidR="00E84CCD">
        <w:t xml:space="preserve"> as 545ms</w:t>
      </w:r>
      <w:r w:rsidR="00D51E0E">
        <w:t xml:space="preserve">. As a result, the current </w:t>
      </w:r>
      <w:r w:rsidR="0073595F">
        <w:t>length</w:t>
      </w:r>
      <w:r w:rsidR="00D51E0E">
        <w:t xml:space="preserve"> of the BFR timer </w:t>
      </w:r>
      <w:r w:rsidR="0073595F">
        <w:t>is</w:t>
      </w:r>
      <w:r w:rsidR="00D51E0E">
        <w:t xml:space="preserve"> insufficient for </w:t>
      </w:r>
      <w:r w:rsidR="0073595F">
        <w:t xml:space="preserve">NR </w:t>
      </w:r>
      <w:r w:rsidR="00D51E0E">
        <w:t>NTN, and this leads to a malfunction on RA procedure</w:t>
      </w:r>
      <w:r w:rsidR="0073595F">
        <w:t xml:space="preserve">, i.e., the BFR timer will always expire before UE receives any response from </w:t>
      </w:r>
      <w:proofErr w:type="spellStart"/>
      <w:r w:rsidR="0073595F">
        <w:t>gNB</w:t>
      </w:r>
      <w:proofErr w:type="spellEnd"/>
      <w:r w:rsidR="0012180C">
        <w:t xml:space="preserve"> </w:t>
      </w:r>
      <w:r w:rsidR="002D1055">
        <w:t>and upon expiration of the timer the UE cannot use CFRA for BFR</w:t>
      </w:r>
      <w:r w:rsidR="0073595F">
        <w:t>.</w:t>
      </w:r>
      <w:r w:rsidR="00D51E0E">
        <w:t xml:space="preserve"> </w:t>
      </w:r>
      <w:r w:rsidR="00E84CCD">
        <w:t>An illustration is given below.</w:t>
      </w:r>
    </w:p>
    <w:p w14:paraId="2ABBA213" w14:textId="3D35AFA2" w:rsidR="00D51E0E" w:rsidRDefault="00C14A92" w:rsidP="00B227C6">
      <w:pPr>
        <w:spacing w:before="120"/>
        <w:jc w:val="center"/>
      </w:pPr>
      <w:r>
        <w:rPr>
          <w:noProof/>
        </w:rPr>
        <w:drawing>
          <wp:inline distT="0" distB="0" distL="0" distR="0" wp14:anchorId="4F9FB44A" wp14:editId="1E0AAF6B">
            <wp:extent cx="5445619" cy="2256790"/>
            <wp:effectExtent l="0" t="0" r="3175" b="0"/>
            <wp:docPr id="3" name="Picture 3" descr="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5180" cy="22773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456C72" w14:textId="77777777" w:rsidR="00E84CCD" w:rsidRPr="00E65ED1" w:rsidRDefault="00E84CCD" w:rsidP="00E84CCD">
      <w:pPr>
        <w:spacing w:before="120"/>
        <w:jc w:val="center"/>
      </w:pPr>
      <w:r w:rsidRPr="00E65ED1">
        <w:t>Fig.1 an illustration of CBRA for the BFR timer in NTN</w:t>
      </w:r>
    </w:p>
    <w:p w14:paraId="315E3E70" w14:textId="77777777" w:rsidR="00E84CCD" w:rsidRDefault="00E84CCD" w:rsidP="00E84CCD">
      <w:pPr>
        <w:pStyle w:val="Observation"/>
      </w:pPr>
      <w:bookmarkStart w:id="1" w:name="_Toc531362540"/>
      <w:r w:rsidRPr="00E84CCD">
        <w:t xml:space="preserve">A modification of the </w:t>
      </w:r>
      <w:r>
        <w:t>BFR</w:t>
      </w:r>
      <w:r w:rsidRPr="00E84CCD">
        <w:t xml:space="preserve"> timer is required to support NTN.</w:t>
      </w:r>
      <w:bookmarkEnd w:id="1"/>
    </w:p>
    <w:p w14:paraId="078E0D42" w14:textId="77777777" w:rsidR="00E84CCD" w:rsidRDefault="00E84CCD" w:rsidP="00E65ED1">
      <w:r w:rsidRPr="00E84CCD">
        <w:t>Thus, we then propose</w:t>
      </w:r>
    </w:p>
    <w:p w14:paraId="6F9F43C9" w14:textId="77777777" w:rsidR="00E84CCD" w:rsidRDefault="00E84CCD" w:rsidP="00E84CCD">
      <w:pPr>
        <w:pStyle w:val="Proposal"/>
      </w:pPr>
      <w:bookmarkStart w:id="2" w:name="_Toc531363079"/>
      <w:r>
        <w:t>E</w:t>
      </w:r>
      <w:r w:rsidRPr="00E84CCD">
        <w:t>xten</w:t>
      </w:r>
      <w:r w:rsidR="00B227C6">
        <w:t>d</w:t>
      </w:r>
      <w:r w:rsidRPr="00E84CCD">
        <w:t xml:space="preserve"> </w:t>
      </w:r>
      <w:r>
        <w:t xml:space="preserve">the BFR </w:t>
      </w:r>
      <w:r w:rsidRPr="00E84CCD">
        <w:t xml:space="preserve">timer </w:t>
      </w:r>
      <w:r>
        <w:t xml:space="preserve">to </w:t>
      </w:r>
      <w:r w:rsidRPr="00E84CCD">
        <w:t>cover</w:t>
      </w:r>
      <w:r>
        <w:t xml:space="preserve"> </w:t>
      </w:r>
      <w:r w:rsidRPr="00E84CCD">
        <w:t>RT</w:t>
      </w:r>
      <w:r>
        <w:t>T</w:t>
      </w:r>
      <w:r w:rsidRPr="00E84CCD">
        <w:t xml:space="preserve"> in NTN.</w:t>
      </w:r>
      <w:bookmarkEnd w:id="2"/>
    </w:p>
    <w:p w14:paraId="4BF879AB" w14:textId="77777777" w:rsidR="00E84CCD" w:rsidRDefault="00E65ED1" w:rsidP="00E65ED1">
      <w:pPr>
        <w:pStyle w:val="Heading1"/>
      </w:pPr>
      <w:r>
        <w:t>Conclusion</w:t>
      </w:r>
    </w:p>
    <w:p w14:paraId="16607482" w14:textId="77777777" w:rsidR="00E65ED1" w:rsidRDefault="00E65ED1" w:rsidP="00E65ED1">
      <w:r>
        <w:t>In this contribution, we have the following observation</w:t>
      </w:r>
    </w:p>
    <w:p w14:paraId="0D625B79" w14:textId="77777777" w:rsidR="00E65ED1" w:rsidRPr="00E65ED1" w:rsidRDefault="00E65ED1">
      <w:pPr>
        <w:pStyle w:val="TOC1"/>
        <w:tabs>
          <w:tab w:val="left" w:pos="1540"/>
          <w:tab w:val="right" w:leader="dot" w:pos="9350"/>
        </w:tabs>
        <w:rPr>
          <w:b/>
          <w:noProof/>
          <w:sz w:val="22"/>
          <w:szCs w:val="22"/>
          <w:lang w:val="en-US" w:eastAsia="zh-TW"/>
        </w:rPr>
      </w:pPr>
      <w:r w:rsidRPr="00E65ED1">
        <w:rPr>
          <w:b/>
        </w:rPr>
        <w:fldChar w:fldCharType="begin"/>
      </w:r>
      <w:r w:rsidRPr="00E65ED1">
        <w:rPr>
          <w:b/>
        </w:rPr>
        <w:instrText xml:space="preserve"> TOC \n \h \z \t "Observation,1" </w:instrText>
      </w:r>
      <w:r w:rsidRPr="00E65ED1">
        <w:rPr>
          <w:b/>
        </w:rPr>
        <w:fldChar w:fldCharType="separate"/>
      </w:r>
      <w:hyperlink w:anchor="_Toc531362540" w:history="1">
        <w:r w:rsidRPr="00E65ED1">
          <w:rPr>
            <w:rStyle w:val="Hyperlink"/>
            <w:b/>
            <w:noProof/>
          </w:rPr>
          <w:t>Observation 1</w:t>
        </w:r>
        <w:r w:rsidRPr="00E65ED1">
          <w:rPr>
            <w:b/>
            <w:noProof/>
            <w:sz w:val="22"/>
            <w:szCs w:val="22"/>
            <w:lang w:val="en-US" w:eastAsia="zh-TW"/>
          </w:rPr>
          <w:tab/>
        </w:r>
        <w:r w:rsidRPr="00E65ED1">
          <w:rPr>
            <w:rStyle w:val="Hyperlink"/>
            <w:b/>
            <w:noProof/>
          </w:rPr>
          <w:t>A modification of the BFR timer is required to support NTN.</w:t>
        </w:r>
      </w:hyperlink>
    </w:p>
    <w:p w14:paraId="115BE5EF" w14:textId="77777777" w:rsidR="00E65ED1" w:rsidRPr="00E65ED1" w:rsidRDefault="00E65ED1" w:rsidP="00E65ED1">
      <w:r w:rsidRPr="00E65ED1">
        <w:rPr>
          <w:b/>
        </w:rPr>
        <w:fldChar w:fldCharType="end"/>
      </w:r>
      <w:r w:rsidRPr="00E65ED1">
        <w:t>Based on the observation, we the</w:t>
      </w:r>
      <w:r w:rsidR="00B227C6">
        <w:t>n</w:t>
      </w:r>
      <w:r w:rsidRPr="00E65ED1">
        <w:t xml:space="preserve"> propose</w:t>
      </w:r>
    </w:p>
    <w:p w14:paraId="0D90C56A" w14:textId="77777777" w:rsidR="00B227C6" w:rsidRPr="00B227C6" w:rsidRDefault="00E65ED1">
      <w:pPr>
        <w:pStyle w:val="TOC1"/>
        <w:tabs>
          <w:tab w:val="left" w:pos="1100"/>
          <w:tab w:val="right" w:leader="dot" w:pos="9350"/>
        </w:tabs>
        <w:rPr>
          <w:b/>
          <w:noProof/>
          <w:sz w:val="22"/>
          <w:szCs w:val="22"/>
          <w:lang w:val="en-US" w:eastAsia="zh-TW"/>
        </w:rPr>
      </w:pPr>
      <w:r w:rsidRPr="00B227C6">
        <w:rPr>
          <w:b/>
        </w:rPr>
        <w:fldChar w:fldCharType="begin"/>
      </w:r>
      <w:r w:rsidRPr="00B227C6">
        <w:rPr>
          <w:b/>
        </w:rPr>
        <w:instrText xml:space="preserve"> TOC \n \h \z \t "Proposal,1" </w:instrText>
      </w:r>
      <w:r w:rsidRPr="00B227C6">
        <w:rPr>
          <w:b/>
        </w:rPr>
        <w:fldChar w:fldCharType="separate"/>
      </w:r>
      <w:hyperlink w:anchor="_Toc531363079" w:history="1">
        <w:r w:rsidR="00B227C6" w:rsidRPr="00B227C6">
          <w:rPr>
            <w:rStyle w:val="Hyperlink"/>
            <w:b/>
            <w:noProof/>
          </w:rPr>
          <w:t>Proposal 1</w:t>
        </w:r>
        <w:r w:rsidR="00B227C6" w:rsidRPr="00B227C6">
          <w:rPr>
            <w:b/>
            <w:noProof/>
            <w:sz w:val="22"/>
            <w:szCs w:val="22"/>
            <w:lang w:val="en-US" w:eastAsia="zh-TW"/>
          </w:rPr>
          <w:tab/>
        </w:r>
        <w:r w:rsidR="00B227C6" w:rsidRPr="00B227C6">
          <w:rPr>
            <w:rStyle w:val="Hyperlink"/>
            <w:b/>
            <w:noProof/>
          </w:rPr>
          <w:t>Extend the BFR timer to cover RTT in NTN.</w:t>
        </w:r>
      </w:hyperlink>
    </w:p>
    <w:p w14:paraId="05F220D8" w14:textId="77777777" w:rsidR="00E65ED1" w:rsidRPr="00E65ED1" w:rsidRDefault="00E65ED1" w:rsidP="00E65ED1">
      <w:r w:rsidRPr="00B227C6">
        <w:rPr>
          <w:b/>
        </w:rPr>
        <w:fldChar w:fldCharType="end"/>
      </w:r>
    </w:p>
    <w:sectPr w:rsidR="00E65ED1" w:rsidRPr="00E65E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A784E9C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AA46647"/>
    <w:multiLevelType w:val="hybridMultilevel"/>
    <w:tmpl w:val="A67C84D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BDF65F6"/>
    <w:multiLevelType w:val="hybridMultilevel"/>
    <w:tmpl w:val="A5B228E8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Heading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101505E"/>
    <w:multiLevelType w:val="hybridMultilevel"/>
    <w:tmpl w:val="61823312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835808"/>
    <w:multiLevelType w:val="hybridMultilevel"/>
    <w:tmpl w:val="C994A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2"/>
  </w:num>
  <w:num w:numId="14">
    <w:abstractNumId w:val="1"/>
  </w:num>
  <w:num w:numId="15">
    <w:abstractNumId w:val="3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sDAwMTAyMjG2sDQxMjFR0lEKTi0uzszPAykwqwUAInDe3ywAAAA="/>
  </w:docVars>
  <w:rsids>
    <w:rsidRoot w:val="005E1F4B"/>
    <w:rsid w:val="0012180C"/>
    <w:rsid w:val="001B515B"/>
    <w:rsid w:val="002D1055"/>
    <w:rsid w:val="005E1F4B"/>
    <w:rsid w:val="006714EF"/>
    <w:rsid w:val="0070429D"/>
    <w:rsid w:val="0073595F"/>
    <w:rsid w:val="00932935"/>
    <w:rsid w:val="00AD236B"/>
    <w:rsid w:val="00AE6B31"/>
    <w:rsid w:val="00B06705"/>
    <w:rsid w:val="00B227C6"/>
    <w:rsid w:val="00C14A92"/>
    <w:rsid w:val="00D51E0E"/>
    <w:rsid w:val="00E65ED1"/>
    <w:rsid w:val="00E84CCD"/>
    <w:rsid w:val="00F5750C"/>
    <w:rsid w:val="00FA3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B08A53"/>
  <w15:chartTrackingRefBased/>
  <w15:docId w15:val="{4C298D62-664A-4062-909F-08FB44BD5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E1F4B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5E1F4B"/>
    <w:pPr>
      <w:keepNext/>
      <w:keepLines/>
      <w:numPr>
        <w:numId w:val="1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5E1F4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5E1F4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link w:val="Heading4Char"/>
    <w:qFormat/>
    <w:rsid w:val="005E1F4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link w:val="Heading5Char"/>
    <w:qFormat/>
    <w:rsid w:val="005E1F4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5E1F4B"/>
    <w:pPr>
      <w:keepNext/>
      <w:keepLines/>
      <w:numPr>
        <w:ilvl w:val="5"/>
        <w:numId w:val="12"/>
      </w:numPr>
      <w:spacing w:before="120"/>
      <w:outlineLvl w:val="5"/>
    </w:pPr>
    <w:rPr>
      <w:rFonts w:eastAsia="Times New Roman" w:cs="Arial"/>
    </w:rPr>
  </w:style>
  <w:style w:type="paragraph" w:styleId="Heading7">
    <w:name w:val="heading 7"/>
    <w:basedOn w:val="Normal"/>
    <w:next w:val="Normal"/>
    <w:link w:val="Heading7Char"/>
    <w:qFormat/>
    <w:rsid w:val="005E1F4B"/>
    <w:pPr>
      <w:keepNext/>
      <w:keepLines/>
      <w:numPr>
        <w:ilvl w:val="6"/>
        <w:numId w:val="12"/>
      </w:numPr>
      <w:spacing w:before="120"/>
      <w:outlineLvl w:val="6"/>
    </w:pPr>
    <w:rPr>
      <w:rFonts w:eastAsia="Times New Roman" w:cs="Arial"/>
    </w:rPr>
  </w:style>
  <w:style w:type="paragraph" w:styleId="Heading8">
    <w:name w:val="heading 8"/>
    <w:basedOn w:val="Heading7"/>
    <w:next w:val="Normal"/>
    <w:link w:val="Heading8Char"/>
    <w:qFormat/>
    <w:rsid w:val="005E1F4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E1F4B"/>
    <w:pPr>
      <w:numPr>
        <w:ilvl w:val="8"/>
        <w:numId w:val="1"/>
      </w:numPr>
      <w:tabs>
        <w:tab w:val="clear" w:pos="648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qFormat/>
    <w:rsid w:val="005E1F4B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customStyle="1" w:styleId="Reference">
    <w:name w:val="Reference"/>
    <w:basedOn w:val="Normal"/>
    <w:qFormat/>
    <w:rsid w:val="005E1F4B"/>
    <w:pPr>
      <w:numPr>
        <w:numId w:val="13"/>
      </w:numPr>
    </w:pPr>
    <w:rPr>
      <w:rFonts w:eastAsia="Times New Roman" w:cs="Times New Roman"/>
    </w:rPr>
  </w:style>
  <w:style w:type="paragraph" w:customStyle="1" w:styleId="Proposal">
    <w:name w:val="Proposal"/>
    <w:basedOn w:val="Normal"/>
    <w:qFormat/>
    <w:rsid w:val="005E1F4B"/>
    <w:pPr>
      <w:numPr>
        <w:numId w:val="14"/>
      </w:numPr>
      <w:tabs>
        <w:tab w:val="left" w:pos="1701"/>
      </w:tabs>
    </w:pPr>
    <w:rPr>
      <w:rFonts w:eastAsia="Times New Roman" w:cs="Times New Roman"/>
      <w:b/>
      <w:bCs/>
    </w:rPr>
  </w:style>
  <w:style w:type="paragraph" w:customStyle="1" w:styleId="Observation">
    <w:name w:val="Observation"/>
    <w:basedOn w:val="Proposal"/>
    <w:qFormat/>
    <w:rsid w:val="005E1F4B"/>
    <w:pPr>
      <w:numPr>
        <w:numId w:val="15"/>
      </w:numPr>
    </w:pPr>
  </w:style>
  <w:style w:type="character" w:customStyle="1" w:styleId="Heading1Char">
    <w:name w:val="Heading 1 Char"/>
    <w:basedOn w:val="DefaultParagraphFont"/>
    <w:link w:val="Heading1"/>
    <w:rsid w:val="005E1F4B"/>
    <w:rPr>
      <w:rFonts w:ascii="Arial" w:eastAsia="Times New Roman" w:hAnsi="Arial" w:cs="Arial"/>
      <w:sz w:val="32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5E1F4B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5E1F4B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5E1F4B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5E1F4B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E1F4B"/>
    <w:rPr>
      <w:rFonts w:eastAsia="Times New Roman" w:cs="Arial"/>
      <w:sz w:val="20"/>
      <w:szCs w:val="20"/>
      <w:lang w:val="en-GB" w:eastAsia="zh-CN"/>
    </w:rPr>
  </w:style>
  <w:style w:type="paragraph" w:styleId="Caption">
    <w:name w:val="caption"/>
    <w:basedOn w:val="Normal"/>
    <w:next w:val="Normal"/>
    <w:qFormat/>
    <w:rsid w:val="005E1F4B"/>
    <w:pPr>
      <w:spacing w:after="240"/>
      <w:jc w:val="center"/>
    </w:pPr>
    <w:rPr>
      <w:rFonts w:eastAsia="Times New Roman" w:cs="Times New Roman"/>
      <w:b/>
      <w:bCs/>
    </w:rPr>
  </w:style>
  <w:style w:type="paragraph" w:styleId="BodyText">
    <w:name w:val="Body Text"/>
    <w:basedOn w:val="Normal"/>
    <w:link w:val="BodyTextChar"/>
    <w:qFormat/>
    <w:rsid w:val="005E1F4B"/>
    <w:rPr>
      <w:rFonts w:eastAsia="Times New Roman" w:cs="Times New Roman"/>
    </w:rPr>
  </w:style>
  <w:style w:type="character" w:customStyle="1" w:styleId="BodyTextChar">
    <w:name w:val="Body Text Char"/>
    <w:basedOn w:val="DefaultParagraphFont"/>
    <w:link w:val="BodyText"/>
    <w:rsid w:val="005E1F4B"/>
    <w:rPr>
      <w:rFonts w:eastAsia="Times New Roman" w:cs="Times New Roman"/>
      <w:sz w:val="20"/>
      <w:szCs w:val="20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5E1F4B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eastAsia="SimSun" w:cs="Times New Roman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5E1F4B"/>
    <w:rPr>
      <w:rFonts w:eastAsia="SimSun" w:cs="Times New Roman"/>
      <w:sz w:val="20"/>
      <w:szCs w:val="24"/>
      <w:lang w:val="en-GB" w:eastAsia="ja-JP"/>
    </w:rPr>
  </w:style>
  <w:style w:type="table" w:styleId="TableGrid">
    <w:name w:val="Table Grid"/>
    <w:basedOn w:val="TableNormal"/>
    <w:uiPriority w:val="39"/>
    <w:rsid w:val="005E1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51E0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D51E0E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TOC1">
    <w:name w:val="toc 1"/>
    <w:basedOn w:val="Normal"/>
    <w:next w:val="Normal"/>
    <w:autoRedefine/>
    <w:uiPriority w:val="39"/>
    <w:unhideWhenUsed/>
    <w:rsid w:val="00E65ED1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E65E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FC758F-3485-406D-939A-14277C08C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APT, MTI</Company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Chien-Chun CHENG</dc:creator>
  <cp:keywords/>
  <dc:description>APT, MTI</dc:description>
  <cp:lastModifiedBy>Chien-Chun CHENG</cp:lastModifiedBy>
  <cp:revision>9</cp:revision>
  <dcterms:created xsi:type="dcterms:W3CDTF">2018-11-30T08:30:00Z</dcterms:created>
  <dcterms:modified xsi:type="dcterms:W3CDTF">2019-02-13T05:43:00Z</dcterms:modified>
</cp:coreProperties>
</file>